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35A5FDE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1FC7241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667911BA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43446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943446" w:rsidRPr="00943446"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43446">
        <w:rPr>
          <w:rFonts w:ascii="Times New Roman" w:eastAsia="Times New Roman" w:hAnsi="Times New Roman" w:cs="Times New Roman"/>
          <w:bCs/>
          <w:lang w:val="en-US" w:eastAsia="ru-RU"/>
        </w:rPr>
        <w:t>19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 xml:space="preserve">hambi </w:t>
      </w:r>
      <w:proofErr w:type="gramStart"/>
      <w:r w:rsidR="00A227A7">
        <w:rPr>
          <w:lang w:val="en-US"/>
        </w:rPr>
        <w:t>fortuna</w:t>
      </w:r>
      <w:proofErr w:type="gramEnd"/>
      <w:r w:rsidR="00A227A7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internet-paket.</w:t>
      </w:r>
    </w:p>
    <w:p w14:paraId="1302A115" w14:textId="338AB50B" w:rsidR="00925382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Pr="00925382">
        <w:rPr>
          <w:rFonts w:ascii="Times New Roman" w:hAnsi="Times New Roman"/>
          <w:sz w:val="24"/>
          <w:szCs w:val="24"/>
          <w:lang w:val="en-US"/>
        </w:rPr>
        <w:t>dona</w:t>
      </w:r>
      <w:proofErr w:type="gramEnd"/>
      <w:r w:rsidRPr="009253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5ED93F8B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D6058C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9A9B347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943446">
        <w:rPr>
          <w:bCs/>
          <w:lang w:val="en-US"/>
        </w:rPr>
        <w:t>1</w:t>
      </w:r>
      <w:r w:rsidR="00943446" w:rsidRPr="00943446">
        <w:rPr>
          <w:bCs/>
          <w:lang w:val="en-US"/>
        </w:rPr>
        <w:t>8</w:t>
      </w:r>
      <w:r w:rsidR="003E438B" w:rsidRPr="00035A29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00F1BD9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503E60F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3D27845" w14:textId="4C614B66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6B502C4D" w14:textId="4B966950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67F10179" w14:textId="5D436DD9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3908589B" w14:textId="77777777" w:rsidR="003702FC" w:rsidRPr="003B708F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0E81CB0" w14:textId="61A2793F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4F0C27" w14:textId="74A5ADE2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C822EF" w14:textId="68AD6AD8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6A3AE86" w14:textId="5876394D" w:rsidR="008B2A83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3702FC" w:rsidRPr="003B708F">
        <w:rPr>
          <w:bCs/>
          <w:lang w:val="en-US"/>
        </w:rPr>
        <w:t xml:space="preserve">) </w:t>
      </w:r>
      <w:r w:rsidR="008B2A8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8B2A83" w:rsidRPr="000056C1">
        <w:rPr>
          <w:lang w:val="en-US"/>
        </w:rPr>
        <w:t xml:space="preserve"> </w:t>
      </w:r>
      <w:r w:rsidR="008B2A83" w:rsidRPr="00CE1F64">
        <w:rPr>
          <w:lang w:val="en-US"/>
        </w:rPr>
        <w:t>smartfoni</w:t>
      </w:r>
      <w:r w:rsidR="008B2A83" w:rsidRPr="003B708F">
        <w:rPr>
          <w:bCs/>
          <w:lang w:val="en-US"/>
        </w:rPr>
        <w:t>;</w:t>
      </w:r>
    </w:p>
    <w:p w14:paraId="5BDE6E09" w14:textId="56680C4F" w:rsidR="003702FC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3B708F">
        <w:rPr>
          <w:bCs/>
          <w:lang w:val="en-US"/>
        </w:rPr>
        <w:t xml:space="preserve">) </w:t>
      </w:r>
      <w:r w:rsidR="001173D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056C1" w:rsidRPr="000056C1">
        <w:rPr>
          <w:lang w:val="en-US"/>
        </w:rPr>
        <w:t xml:space="preserve"> </w:t>
      </w:r>
      <w:r w:rsidR="003702FC" w:rsidRPr="00CE1F64">
        <w:rPr>
          <w:lang w:val="en-US"/>
        </w:rPr>
        <w:t>smartfoni</w:t>
      </w:r>
      <w:r w:rsidR="003702FC" w:rsidRPr="003B708F">
        <w:rPr>
          <w:bCs/>
          <w:lang w:val="en-US"/>
        </w:rPr>
        <w:t>;</w:t>
      </w:r>
    </w:p>
    <w:p w14:paraId="7C44C6D1" w14:textId="3D16D5A7" w:rsid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758C4BE4" w14:textId="560B95FB" w:rsidR="00083B8F" w:rsidRP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B1934B1" w14:textId="43B5525E" w:rsidR="00083B8F" w:rsidRPr="003B70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3693ACF4" w14:textId="0549D388" w:rsidR="00083B8F" w:rsidRPr="003B708F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13619153" w14:textId="77777777" w:rsidR="00925382" w:rsidRDefault="00925382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2B3E50EC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2025</w:t>
      </w:r>
      <w:r w:rsidR="003F48EA" w:rsidRPr="003B708F">
        <w:rPr>
          <w:bCs/>
          <w:lang w:val="en-US"/>
        </w:rPr>
        <w:t xml:space="preserve">-yil </w:t>
      </w:r>
      <w:r w:rsidR="00943446">
        <w:rPr>
          <w:bCs/>
          <w:lang w:val="en-US"/>
        </w:rPr>
        <w:t>19</w:t>
      </w:r>
      <w:r w:rsidR="003F48EA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kuni sovrinlarni o‘tkazish tartibi:</w:t>
      </w:r>
    </w:p>
    <w:p w14:paraId="1A35F3E2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22D9D7E8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A3C989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1B72410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09EF44AB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3B2A1935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915CBDC" w14:textId="77777777" w:rsidR="00925382" w:rsidRPr="000673E6" w:rsidRDefault="00925382" w:rsidP="00925382">
      <w:pPr>
        <w:rPr>
          <w:lang w:val="en-US"/>
        </w:rPr>
      </w:pPr>
    </w:p>
    <w:p w14:paraId="343AAD4F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4A17893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3F8C553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9B6C4A9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A37A7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19EC0E2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25A9637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84175F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257C1EC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BB76D3A" w14:textId="77777777" w:rsidR="00925382" w:rsidRPr="00083B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6E61287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B4F154F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943446">
        <w:rPr>
          <w:bCs/>
          <w:lang w:val="en-US"/>
        </w:rPr>
        <w:t>18</w:t>
      </w:r>
      <w:r w:rsidRPr="00035A29">
        <w:rPr>
          <w:bCs/>
          <w:lang w:val="en-US"/>
        </w:rPr>
        <w:t>-</w:t>
      </w:r>
      <w:r w:rsidR="00C56A40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943446">
        <w:rPr>
          <w:bCs/>
          <w:lang w:val="en-US"/>
        </w:rPr>
        <w:t>19</w:t>
      </w:r>
      <w:r w:rsidRPr="00035A29">
        <w:rPr>
          <w:bCs/>
          <w:lang w:val="en-US"/>
        </w:rPr>
        <w:t>-</w:t>
      </w:r>
      <w:r w:rsidR="00C56A40">
        <w:rPr>
          <w:bCs/>
          <w:lang w:val="en-US"/>
        </w:rPr>
        <w:t>yanvar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943446">
        <w:rPr>
          <w:bCs/>
          <w:lang w:val="en-US"/>
        </w:rPr>
        <w:t>19</w:t>
      </w:r>
      <w:r w:rsidRPr="00035A29">
        <w:rPr>
          <w:bCs/>
          <w:lang w:val="en-US"/>
        </w:rPr>
        <w:t>-</w:t>
      </w:r>
      <w:r w:rsidR="00C56A40">
        <w:rPr>
          <w:bCs/>
          <w:lang w:val="en-US"/>
        </w:rPr>
        <w:t>yanvar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5EC869B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6CF71FB0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94344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19</w:t>
      </w:r>
      <w:bookmarkStart w:id="0" w:name="_GoBack"/>
      <w:bookmarkEnd w:id="0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59F0"/>
    <w:rsid w:val="00264A93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726B6"/>
    <w:rsid w:val="00B85708"/>
    <w:rsid w:val="00BA4516"/>
    <w:rsid w:val="00BA7682"/>
    <w:rsid w:val="00BB2B72"/>
    <w:rsid w:val="00BC090F"/>
    <w:rsid w:val="00BC73CB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2130"/>
    <w:rsid w:val="00CD2D15"/>
    <w:rsid w:val="00CE1112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058C"/>
    <w:rsid w:val="00D6529D"/>
    <w:rsid w:val="00D67604"/>
    <w:rsid w:val="00D76E6C"/>
    <w:rsid w:val="00D874A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7CEC-585F-4BF9-B6CB-C6D1E429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70</cp:revision>
  <cp:lastPrinted>2022-06-01T10:08:00Z</cp:lastPrinted>
  <dcterms:created xsi:type="dcterms:W3CDTF">2024-01-05T04:27:00Z</dcterms:created>
  <dcterms:modified xsi:type="dcterms:W3CDTF">2025-01-17T09:01:00Z</dcterms:modified>
</cp:coreProperties>
</file>